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222026_111057.xml.htm"/>
      <w:bookmarkStart w:id="1" w:name="ksform310222026_11105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Trombley Aetna Wun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LYCIA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EAST JAMIE COURT,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Lycia Therapeutics, Inc.</w:t>
              </w:r>
            </w:hyperlink>
            <w:r>
              <w:rPr/>
              <w:t xml:space="preserve"> [ </w:t>
            </w:r>
            <w:r>
              <w:rPr>
                <w:rFonts w:ascii="Times;serif" w:hAnsi="Times;serif"/>
                <w:color w:val="0000FF"/>
                <w:sz w:val="24"/>
                <w:shd w:fill="FFFFFF" w:val="clear"/>
              </w:rPr>
              <w:t>LYCA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415,255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471,252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665,380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55,448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443,586</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held by the Trombley Family Trust of which the Reporting Person and her spouse are 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vested as to 1/48 of the total award on July 27, 2024, and an additional 1/48 of the award will vest monthly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vested as to 1/48 of the total award on February 1, 2026, and an additional 1/48 of the award will vest monthly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vested as to 1/48 of the total award on September 6, 2026, and an additional 1/48 of the award will vest monthly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Bachrodt,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222026_111057.htm"/>
      <w:bookmarkStart w:id="3" w:name="ksex2410222026_111057"/>
      <w:bookmarkStart w:id="4" w:name="ex24-10222026_111057.htm"/>
      <w:bookmarkStart w:id="5" w:name="ksex2410222026_111057"/>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constitutes and appoints Amy Bachrodt and Karen Flick, and each of them, as long as they are providing services to Lycia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60655"/>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60655"/>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24th day of August, 2026.</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Aetna Wun Trombley</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886200" cy="160655"/>
                <wp:effectExtent l="0" t="0" r="0" b="0"/>
                <wp:wrapSquare wrapText="right"/>
                <wp:docPr id="8" name="Frame4"/>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30"/>
        <w:jc w:val="left"/>
        <w:rPr>
          <w:sz w:val="22"/>
        </w:rPr>
      </w:pPr>
      <w:r>
        <w:rPr>
          <w:sz w:val="22"/>
        </w:rPr>
        <w:t>Aetna Wun Trombley</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886200" cy="160655"/>
                <wp:effectExtent l="0" t="0" r="0" b="0"/>
                <wp:wrapSquare wrapText="right"/>
                <wp:docPr id="9" name="Frame5"/>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50495" TargetMode="External"/><Relationship Id="rId3" Type="http://schemas.openxmlformats.org/officeDocument/2006/relationships/hyperlink" Target="http://www.sec.gov/cgi-bin/browse-edgar?action=getcompany&amp;CIK=00018065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1178</Words>
  <Characters>6193</Characters>
  <CharactersWithSpaces>7276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