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60"/>
        <w:jc w:val="center"/>
        <w:rPr>
          <w:rFonts w:ascii="Trade Gothic;sans-serif" w:hAnsi="Trade Gothic;sans-serif"/>
          <w:b/>
          <w:color w:val="000000"/>
          <w:sz w:val="16"/>
        </w:rPr>
      </w:pPr>
      <w:r>
        <w:rPr>
          <w:rFonts w:ascii="Trade Gothic;sans-serif" w:hAnsi="Trade Gothic;sans-serif"/>
          <w:b/>
          <w:color w:val="000000"/>
          <w:sz w:val="16"/>
        </w:rPr>
        <w:t>As filed with the Securities and Exchange Commission on October 22, 2026</w:t>
      </w:r>
    </w:p>
    <w:p>
      <w:pPr>
        <w:pStyle w:val="TextBody"/>
        <w:bidi w:val="0"/>
        <w:spacing w:lineRule="auto" w:line="288" w:before="0" w:after="120"/>
        <w:jc w:val="right"/>
        <w:rPr>
          <w:rFonts w:ascii="Trade Gothic;sans-serif" w:hAnsi="Trade Gothic;sans-serif"/>
          <w:b/>
          <w:color w:val="000000"/>
          <w:sz w:val="16"/>
        </w:rPr>
      </w:pPr>
      <w:r>
        <w:rPr>
          <w:rFonts w:ascii="Trade Gothic;sans-serif" w:hAnsi="Trade Gothic;sans-serif"/>
          <w:b/>
          <w:color w:val="000000"/>
          <w:sz w:val="16"/>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22"/>
        </w:rPr>
      </w:pPr>
      <w:r>
        <w:rPr>
          <w:rFonts w:ascii="Trade Gothic;sans-serif" w:hAnsi="Trade Gothic;sans-serif"/>
          <w:b/>
          <w:color w:val="000000"/>
          <w:sz w:val="22"/>
        </w:rPr>
        <w:t xml:space="preserve">UNITED STATES </w:t>
      </w:r>
    </w:p>
    <w:p>
      <w:pPr>
        <w:pStyle w:val="TextBody"/>
        <w:bidi w:val="0"/>
        <w:spacing w:lineRule="auto" w:line="288" w:before="0" w:after="0"/>
        <w:jc w:val="center"/>
        <w:rPr>
          <w:rFonts w:ascii="Trade Gothic;sans-serif" w:hAnsi="Trade Gothic;sans-serif"/>
          <w:b/>
          <w:color w:val="000000"/>
          <w:sz w:val="22"/>
        </w:rPr>
      </w:pPr>
      <w:r>
        <w:rPr>
          <w:rFonts w:ascii="Trade Gothic;sans-serif" w:hAnsi="Trade Gothic;sans-serif"/>
          <w:b/>
          <w:color w:val="000000"/>
          <w:sz w:val="22"/>
        </w:rPr>
        <w:t xml:space="preserve">SECURITIES AND EXCHANGE COMMISSION </w:t>
      </w:r>
    </w:p>
    <w:p>
      <w:pPr>
        <w:pStyle w:val="TextBody"/>
        <w:bidi w:val="0"/>
        <w:spacing w:lineRule="auto" w:line="288" w:before="0" w:after="240"/>
        <w:jc w:val="center"/>
        <w:rPr>
          <w:rFonts w:ascii="Trade Gothic;sans-serif" w:hAnsi="Trade Gothic;sans-serif"/>
          <w:b/>
          <w:color w:val="000000"/>
          <w:sz w:val="16"/>
        </w:rPr>
      </w:pPr>
      <w:r>
        <w:rPr>
          <w:rFonts w:ascii="Trade Gothic;sans-serif" w:hAnsi="Trade Gothic;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22"/>
        </w:rPr>
      </w:pPr>
      <w:r>
        <w:rPr>
          <w:rFonts w:ascii="Trade Gothic;sans-serif" w:hAnsi="Trade Gothic;sans-serif"/>
          <w:b/>
          <w:color w:val="000000"/>
          <w:sz w:val="22"/>
        </w:rPr>
        <w:t>FORM S-1</w:t>
      </w:r>
    </w:p>
    <w:p>
      <w:pPr>
        <w:pStyle w:val="TextBody"/>
        <w:bidi w:val="0"/>
        <w:spacing w:lineRule="auto" w:line="288" w:before="0" w:after="0"/>
        <w:jc w:val="center"/>
        <w:rPr>
          <w:rFonts w:ascii="Trade Gothic;sans-serif" w:hAnsi="Trade Gothic;sans-serif"/>
          <w:b/>
          <w:color w:val="000000"/>
          <w:sz w:val="22"/>
        </w:rPr>
      </w:pPr>
      <w:r>
        <w:rPr>
          <w:rFonts w:ascii="Trade Gothic;sans-serif" w:hAnsi="Trade Gothic;sans-serif"/>
          <w:b/>
          <w:color w:val="000000"/>
          <w:sz w:val="22"/>
        </w:rPr>
        <w:t>REGISTRATION STATEMENT</w:t>
      </w:r>
    </w:p>
    <w:p>
      <w:pPr>
        <w:pStyle w:val="TextBody"/>
        <w:bidi w:val="0"/>
        <w:spacing w:lineRule="auto" w:line="288" w:before="0" w:after="0"/>
        <w:jc w:val="center"/>
        <w:rPr>
          <w:rFonts w:ascii="Trade Gothic;sans-serif" w:hAnsi="Trade Gothic;sans-serif"/>
          <w:b/>
          <w:i/>
          <w:color w:val="000000"/>
          <w:sz w:val="18"/>
        </w:rPr>
      </w:pPr>
      <w:r>
        <w:rPr>
          <w:rFonts w:ascii="Trade Gothic;sans-serif" w:hAnsi="Trade Gothic;sans-serif"/>
          <w:b/>
          <w:i/>
          <w:color w:val="000000"/>
          <w:sz w:val="18"/>
        </w:rPr>
        <w:t>Under</w:t>
      </w:r>
    </w:p>
    <w:p>
      <w:pPr>
        <w:pStyle w:val="TextBody"/>
        <w:bidi w:val="0"/>
        <w:spacing w:lineRule="auto" w:line="288" w:before="0" w:after="60"/>
        <w:jc w:val="center"/>
        <w:rPr>
          <w:rFonts w:ascii="Trade Gothic;sans-serif" w:hAnsi="Trade Gothic;sans-serif"/>
          <w:b/>
          <w:i/>
          <w:color w:val="000000"/>
          <w:sz w:val="18"/>
        </w:rPr>
      </w:pPr>
      <w:r>
        <w:rPr>
          <w:rFonts w:ascii="Trade Gothic;sans-serif" w:hAnsi="Trade Gothic;sans-serif"/>
          <w:b/>
          <w:i/>
          <w:color w:val="000000"/>
          <w:sz w:val="18"/>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26"/>
        </w:rPr>
      </w:pPr>
      <w:r>
        <w:rPr>
          <w:rFonts w:ascii="Trade Gothic;sans-serif" w:hAnsi="Trade Gothic;sans-serif"/>
          <w:b/>
          <w:color w:val="000000"/>
          <w:sz w:val="26"/>
        </w:rPr>
        <w:t>LYCIA THERAPEUTICS, INC.</w:t>
      </w:r>
    </w:p>
    <w:p>
      <w:pPr>
        <w:pStyle w:val="TextBody"/>
        <w:bidi w:val="0"/>
        <w:spacing w:lineRule="auto" w:line="288" w:before="0" w:after="240"/>
        <w:jc w:val="center"/>
        <w:rPr>
          <w:rFonts w:ascii="Trade Gothic;sans-serif" w:hAnsi="Trade Gothic;sans-serif"/>
          <w:b w:val="false"/>
          <w:color w:val="000000"/>
          <w:sz w:val="16"/>
        </w:rPr>
      </w:pPr>
      <w:r>
        <w:rPr>
          <w:rFonts w:ascii="Trade Gothic;sans-serif" w:hAnsi="Trade Gothic;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48" w:type="dxa"/>
        <w:jc w:val="left"/>
        <w:tblInd w:w="0" w:type="dxa"/>
        <w:tblLayout w:type="fixed"/>
        <w:tblCellMar>
          <w:top w:w="28" w:type="dxa"/>
          <w:left w:w="28" w:type="dxa"/>
          <w:bottom w:w="28" w:type="dxa"/>
          <w:right w:w="28" w:type="dxa"/>
        </w:tblCellMar>
      </w:tblPr>
      <w:tblGrid>
        <w:gridCol w:w="1069"/>
        <w:gridCol w:w="940"/>
        <w:gridCol w:w="946"/>
        <w:gridCol w:w="912"/>
        <w:gridCol w:w="912"/>
        <w:gridCol w:w="920"/>
        <w:gridCol w:w="657"/>
        <w:gridCol w:w="657"/>
        <w:gridCol w:w="935"/>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2836</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84-3860514</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(State or other jurisdiction of</w:t>
              <w:br/>
              <w:t>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(Primary Standard Industrial</w:t>
              <w:br/>
              <w:t>Classification Code Number)</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(I.R.S. Employer</w:t>
              <w:b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400 East Jamie Court, Suite 200</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South San Francisco, California 94080</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(650) 392-3357</w:t>
      </w:r>
    </w:p>
    <w:p>
      <w:pPr>
        <w:pStyle w:val="TextBody"/>
        <w:bidi w:val="0"/>
        <w:spacing w:lineRule="auto" w:line="288" w:before="0" w:after="120"/>
        <w:jc w:val="center"/>
        <w:rPr>
          <w:rFonts w:ascii="Trade Gothic;sans-serif" w:hAnsi="Trade Gothic;sans-serif"/>
          <w:b/>
          <w:color w:val="000000"/>
          <w:sz w:val="16"/>
        </w:rPr>
      </w:pPr>
      <w:r>
        <w:rPr>
          <w:rFonts w:ascii="Trade Gothic;sans-serif" w:hAnsi="Trade Gothic;sans-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16"/>
          <w:shd w:fill="FFFFFF" w:val="clear"/>
        </w:rPr>
      </w:pPr>
      <w:r>
        <w:rPr>
          <w:rFonts w:ascii="Trade Gothic;sans-serif" w:hAnsi="Trade Gothic;sans-serif"/>
          <w:b/>
          <w:color w:val="000000"/>
          <w:sz w:val="16"/>
          <w:shd w:fill="FFFFFF" w:val="clear"/>
        </w:rPr>
        <w:t>Aetna Wun Trombley, Ph.D.</w:t>
      </w:r>
    </w:p>
    <w:p>
      <w:pPr>
        <w:pStyle w:val="TextBody"/>
        <w:bidi w:val="0"/>
        <w:spacing w:lineRule="auto" w:line="288" w:before="0" w:after="0"/>
        <w:jc w:val="center"/>
        <w:rPr>
          <w:rFonts w:ascii="Trade Gothic;sans-serif" w:hAnsi="Trade Gothic;sans-serif"/>
          <w:b/>
          <w:color w:val="000000"/>
          <w:sz w:val="16"/>
          <w:shd w:fill="FFFFFF" w:val="clear"/>
        </w:rPr>
      </w:pPr>
      <w:r>
        <w:rPr>
          <w:rFonts w:ascii="Trade Gothic;sans-serif" w:hAnsi="Trade Gothic;sans-serif"/>
          <w:b/>
          <w:color w:val="000000"/>
          <w:sz w:val="16"/>
          <w:shd w:fill="FFFFFF" w:val="clear"/>
        </w:rPr>
        <w:t>President and Chief Executive Officer</w:t>
      </w:r>
    </w:p>
    <w:p>
      <w:pPr>
        <w:pStyle w:val="TextBody"/>
        <w:bidi w:val="0"/>
        <w:spacing w:lineRule="auto" w:line="288" w:before="0" w:after="0"/>
        <w:jc w:val="center"/>
        <w:rPr>
          <w:rFonts w:ascii="Trade Gothic;sans-serif" w:hAnsi="Trade Gothic;sans-serif"/>
          <w:b/>
          <w:color w:val="000000"/>
          <w:sz w:val="16"/>
          <w:shd w:fill="FFFFFF" w:val="clear"/>
        </w:rPr>
      </w:pPr>
      <w:r>
        <w:rPr>
          <w:rFonts w:ascii="Trade Gothic;sans-serif" w:hAnsi="Trade Gothic;sans-serif"/>
          <w:b/>
          <w:color w:val="000000"/>
          <w:sz w:val="16"/>
          <w:shd w:fill="FFFFFF" w:val="clear"/>
        </w:rPr>
        <w:t>400 East Jamie Court, Suite 200</w:t>
      </w:r>
    </w:p>
    <w:p>
      <w:pPr>
        <w:pStyle w:val="TextBody"/>
        <w:bidi w:val="0"/>
        <w:spacing w:lineRule="auto" w:line="288" w:before="0" w:after="120"/>
        <w:jc w:val="center"/>
        <w:rPr>
          <w:rFonts w:ascii="Trade Gothic;sans-serif" w:hAnsi="Trade Gothic;sans-serif"/>
          <w:b/>
          <w:color w:val="000000"/>
          <w:sz w:val="16"/>
        </w:rPr>
      </w:pPr>
      <w:r>
        <w:rPr>
          <w:rFonts w:ascii="Trade Gothic;sans-serif" w:hAnsi="Trade Gothic;sans-serif"/>
          <w:b/>
          <w:color w:val="000000"/>
          <w:sz w:val="16"/>
        </w:rPr>
        <w:t xml:space="preserve">South San Francisco, California 94080 </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 xml:space="preserve">(650) 392-3357 </w:t>
      </w:r>
    </w:p>
    <w:p>
      <w:pPr>
        <w:pStyle w:val="TextBody"/>
        <w:bidi w:val="0"/>
        <w:spacing w:lineRule="auto" w:line="288" w:before="0" w:after="120"/>
        <w:jc w:val="center"/>
        <w:rPr>
          <w:rFonts w:ascii="Trade Gothic;sans-serif" w:hAnsi="Trade Gothic;sans-serif"/>
          <w:b/>
          <w:color w:val="000000"/>
          <w:sz w:val="16"/>
        </w:rPr>
      </w:pPr>
      <w:r>
        <w:rPr>
          <w:rFonts w:ascii="Trade Gothic;sans-serif" w:hAnsi="Trade Gothic;sans-serif"/>
          <w:b/>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rade Gothic;sans-serif" w:hAnsi="Trade Gothic;sans-serif"/>
          <w:b w:val="false"/>
          <w:i/>
          <w:color w:val="000000"/>
          <w:sz w:val="16"/>
        </w:rPr>
      </w:pPr>
      <w:r>
        <w:rPr>
          <w:rFonts w:ascii="Trade Gothic;sans-serif" w:hAnsi="Trade Gothic;sans-serif"/>
          <w:b w:val="false"/>
          <w:i/>
          <w:color w:val="000000"/>
          <w:sz w:val="16"/>
        </w:rPr>
        <w:t>Copies to:</w:t>
      </w:r>
    </w:p>
    <w:tbl>
      <w:tblPr>
        <w:tblW w:w="5954" w:type="dxa"/>
        <w:jc w:val="left"/>
        <w:tblInd w:w="0" w:type="dxa"/>
        <w:tblLayout w:type="fixed"/>
        <w:tblCellMar>
          <w:top w:w="28" w:type="dxa"/>
          <w:left w:w="28" w:type="dxa"/>
          <w:bottom w:w="28" w:type="dxa"/>
          <w:right w:w="28" w:type="dxa"/>
        </w:tblCellMar>
      </w:tblPr>
      <w:tblGrid>
        <w:gridCol w:w="1130"/>
        <w:gridCol w:w="993"/>
        <w:gridCol w:w="997"/>
        <w:gridCol w:w="828"/>
        <w:gridCol w:w="828"/>
        <w:gridCol w:w="1178"/>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Effie Toshav,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Amanda Rose,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Chelsea Anderson,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Fenwick &amp; West LLP</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One Front Street</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33rd Floor</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San Francisco, California 94111</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(415) 875-2300</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Charles S. Kim,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Denny Won,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Kristin VanderPas, Esq.</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 xml:space="preserve">Dave Peinsipp </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Cooley LLP</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10265 Science Center Drive</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 xml:space="preserve">San Diego, California 92121 </w:t>
            </w:r>
          </w:p>
          <w:p>
            <w:pPr>
              <w:pStyle w:val="TableContents"/>
              <w:bidi w:val="0"/>
              <w:spacing w:lineRule="auto" w:line="240" w:before="0" w:after="0"/>
              <w:jc w:val="center"/>
              <w:rPr>
                <w:rFonts w:ascii="Trade Gothic;sans-serif" w:hAnsi="Trade Gothic;sans-serif"/>
                <w:b/>
                <w:color w:val="000000"/>
                <w:sz w:val="16"/>
              </w:rPr>
            </w:pPr>
            <w:r>
              <w:rPr>
                <w:rFonts w:ascii="Trade Gothic;sans-serif" w:hAnsi="Trade Gothic;sans-serif"/>
                <w:b/>
                <w:color w:val="000000"/>
                <w:sz w:val="16"/>
              </w:rPr>
              <w:t>(858) 550-6000</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 xml:space="preserve">Approximate date of commencement of proposed sale to the public: </w:t>
      </w:r>
    </w:p>
    <w:p>
      <w:pPr>
        <w:pStyle w:val="TextBody"/>
        <w:bidi w:val="0"/>
        <w:spacing w:lineRule="auto" w:line="288" w:before="0" w:after="120"/>
        <w:jc w:val="center"/>
        <w:rPr>
          <w:rFonts w:ascii="Trade Gothic;sans-serif" w:hAnsi="Trade Gothic;sans-serif"/>
          <w:b/>
          <w:color w:val="000000"/>
          <w:sz w:val="16"/>
        </w:rPr>
      </w:pPr>
      <w:r>
        <w:rPr>
          <w:rFonts w:ascii="Trade Gothic;sans-serif" w:hAnsi="Trade Gothic;sans-serif"/>
          <w:b/>
          <w:color w:val="000000"/>
          <w:sz w:val="16"/>
        </w:rPr>
        <w:t>As soon as practicable after the effective date of this registration statement.</w:t>
      </w:r>
    </w:p>
    <w:p>
      <w:pPr>
        <w:pStyle w:val="TextBody"/>
        <w:bidi w:val="0"/>
        <w:spacing w:lineRule="auto" w:line="288" w:before="0" w:after="120"/>
        <w:jc w:val="left"/>
        <w:rPr/>
      </w:pPr>
      <w:r>
        <w:rPr>
          <w:rFonts w:ascii="Trade Gothic;sans-serif" w:hAnsi="Trade Gothic;sans-serif"/>
          <w:b w:val="false"/>
          <w:color w:val="000000"/>
          <w:sz w:val="16"/>
        </w:rPr>
        <w:t>If any of the securities being registered on this form are to be offered on a delayed or continuous basis pursuant to Rule 415 under the Securities Act of 1933 check the following box.  </w:t>
      </w:r>
      <w:r>
        <w:rPr>
          <w:color w:val="000000"/>
        </w:rPr>
        <w:t>☐</w:t>
      </w:r>
    </w:p>
    <w:p>
      <w:pPr>
        <w:pStyle w:val="TextBody"/>
        <w:bidi w:val="0"/>
        <w:spacing w:lineRule="auto" w:line="288" w:before="0" w:after="120"/>
        <w:jc w:val="left"/>
        <w:rPr>
          <w:rFonts w:ascii="Trade Gothic;sans-serif" w:hAnsi="Trade Gothic;sans-serif"/>
          <w:b w:val="false"/>
          <w:color w:val="000000"/>
          <w:sz w:val="16"/>
        </w:rPr>
      </w:pPr>
      <w:r>
        <w:rPr>
          <w:rFonts w:ascii="Trade Gothic;sans-serif" w:hAnsi="Trade Gothic;sans-serif"/>
          <w:b w:val="false"/>
          <w:color w:val="000000"/>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333-299300</w:t>
      </w:r>
    </w:p>
    <w:p>
      <w:pPr>
        <w:pStyle w:val="TextBody"/>
        <w:bidi w:val="0"/>
        <w:spacing w:lineRule="auto" w:line="288" w:before="0" w:after="120"/>
        <w:jc w:val="left"/>
        <w:rPr>
          <w:rFonts w:ascii="Trade Gothic;sans-serif" w:hAnsi="Trade Gothic;sans-serif"/>
          <w:b w:val="false"/>
          <w:color w:val="000000"/>
          <w:sz w:val="16"/>
        </w:rPr>
      </w:pPr>
      <w:r>
        <w:rPr>
          <w:rFonts w:ascii="Trade Gothic;sans-serif" w:hAnsi="Trade Gothic;sans-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20"/>
        <w:jc w:val="left"/>
        <w:rPr>
          <w:rFonts w:ascii="Trade Gothic;sans-serif" w:hAnsi="Trade Gothic;sans-serif"/>
          <w:b w:val="false"/>
          <w:color w:val="000000"/>
          <w:sz w:val="16"/>
        </w:rPr>
      </w:pPr>
      <w:r>
        <w:rPr>
          <w:rFonts w:ascii="Trade Gothic;sans-serif" w:hAnsi="Trade Gothic;sans-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lineRule="auto" w:line="288" w:before="0" w:after="120"/>
        <w:jc w:val="left"/>
        <w:rPr>
          <w:rFonts w:ascii="Trade Gothic;sans-serif" w:hAnsi="Trade Gothic;sans-serif"/>
          <w:b w:val="false"/>
          <w:color w:val="000000"/>
          <w:sz w:val="16"/>
        </w:rPr>
      </w:pPr>
      <w:r>
        <w:rPr>
          <w:rFonts w:ascii="Trade Gothic;sans-serif" w:hAnsi="Trade Gothic;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11" w:type="dxa"/>
        <w:jc w:val="left"/>
        <w:tblInd w:w="0" w:type="dxa"/>
        <w:tblLayout w:type="fixed"/>
        <w:tblCellMar>
          <w:top w:w="28" w:type="dxa"/>
          <w:left w:w="28" w:type="dxa"/>
          <w:bottom w:w="28" w:type="dxa"/>
          <w:right w:w="28" w:type="dxa"/>
        </w:tblCellMar>
      </w:tblPr>
      <w:tblGrid>
        <w:gridCol w:w="729"/>
        <w:gridCol w:w="640"/>
        <w:gridCol w:w="642"/>
        <w:gridCol w:w="109"/>
        <w:gridCol w:w="109"/>
        <w:gridCol w:w="109"/>
        <w:gridCol w:w="799"/>
        <w:gridCol w:w="799"/>
        <w:gridCol w:w="803"/>
        <w:gridCol w:w="109"/>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240"/>
        <w:jc w:val="left"/>
        <w:rPr>
          <w:rFonts w:ascii="Trade Gothic;sans-serif" w:hAnsi="Trade Gothic;sans-serif"/>
          <w:b w:val="false"/>
          <w:color w:val="000000"/>
          <w:sz w:val="16"/>
        </w:rPr>
      </w:pPr>
      <w:r>
        <w:rPr>
          <w:rFonts w:ascii="Trade Gothic;sans-serif" w:hAnsi="Trade Gothic;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120"/>
        <w:jc w:val="left"/>
        <w:rPr>
          <w:rFonts w:ascii="Trade Gothic;sans-serif" w:hAnsi="Trade Gothic;sans-serif"/>
          <w:b/>
          <w:color w:val="000000"/>
          <w:sz w:val="16"/>
        </w:rPr>
      </w:pPr>
      <w:r>
        <w:rPr>
          <w:rFonts w:ascii="Trade Gothic;sans-serif" w:hAnsi="Trade Gothic;sans-serif"/>
          <w:b/>
          <w:color w:val="000000"/>
          <w:sz w:val="16"/>
        </w:rPr>
        <w:t>This Registration Statement shall become effective upon filing in accordance with Rule 462(b) under the Securities Act.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EXPLANATORY NOTE AND INCORPORATION OF CERTAIN INFORMATION BY REFERENCE</w:t>
      </w:r>
    </w:p>
    <w:p>
      <w:pPr>
        <w:pStyle w:val="TextBody"/>
        <w:bidi w:val="0"/>
        <w:spacing w:lineRule="auto" w:line="288" w:before="0" w:after="240"/>
        <w:jc w:val="left"/>
        <w:rPr/>
      </w:pPr>
      <w:r>
        <w:rPr>
          <w:rFonts w:ascii="Trade Gothic;sans-serif" w:hAnsi="Trade Gothic;sans-serif"/>
          <w:b w:val="false"/>
          <w:color w:val="000000"/>
          <w:sz w:val="19"/>
        </w:rPr>
        <w:t>Pursuant to Rule 462(b) under the Securities Act of 1933, as amended, Lycia Therapeutics, Inc. (the “</w:t>
      </w:r>
      <w:r>
        <w:rPr>
          <w:rFonts w:ascii="Trade Gothic;sans-serif" w:hAnsi="Trade Gothic;sans-serif"/>
          <w:b/>
          <w:i/>
          <w:color w:val="000000"/>
          <w:sz w:val="19"/>
        </w:rPr>
        <w:t>Registrant</w:t>
      </w:r>
      <w:r>
        <w:rPr>
          <w:color w:val="000000"/>
        </w:rPr>
        <w:t>”</w:t>
      </w:r>
      <w:r>
        <w:rPr>
          <w:rFonts w:ascii="Trade Gothic;sans-serif" w:hAnsi="Trade Gothic;sans-serif"/>
          <w:b w:val="false"/>
          <w:color w:val="000000"/>
          <w:sz w:val="19"/>
        </w:rPr>
        <w:t>) is filing this Registration Statement on Form S-1 (this “</w:t>
      </w:r>
      <w:r>
        <w:rPr>
          <w:rFonts w:ascii="Trade Gothic;sans-serif" w:hAnsi="Trade Gothic;sans-serif"/>
          <w:b/>
          <w:i/>
          <w:color w:val="000000"/>
          <w:sz w:val="19"/>
        </w:rPr>
        <w:t>Registration Statement</w:t>
      </w:r>
      <w:r>
        <w:rPr>
          <w:color w:val="000000"/>
        </w:rPr>
        <w:t>”</w:t>
      </w:r>
      <w:r>
        <w:rPr>
          <w:rFonts w:ascii="Trade Gothic;sans-serif" w:hAnsi="Trade Gothic;sans-serif"/>
          <w:b w:val="false"/>
          <w:color w:val="000000"/>
          <w:sz w:val="19"/>
        </w:rPr>
        <w:t>) with the Securities and Exchange Commission (the “</w:t>
      </w:r>
      <w:r>
        <w:rPr>
          <w:rFonts w:ascii="Trade Gothic;sans-serif" w:hAnsi="Trade Gothic;sans-serif"/>
          <w:b/>
          <w:i/>
          <w:color w:val="000000"/>
          <w:sz w:val="19"/>
        </w:rPr>
        <w:t>Commission</w:t>
      </w:r>
      <w:r>
        <w:rPr>
          <w:color w:val="000000"/>
        </w:rPr>
        <w:t>”</w:t>
      </w:r>
      <w:r>
        <w:rPr>
          <w:rFonts w:ascii="Trade Gothic;sans-serif" w:hAnsi="Trade Gothic;sans-serif"/>
          <w:b w:val="false"/>
          <w:color w:val="000000"/>
          <w:sz w:val="19"/>
        </w:rPr>
        <w:t>). This Registration Statement relates to the public offering of securities contemplated by the Registration Statement on Form S-1, as amended (File No. 333-299300), which the Registrant originally filed with the Commission on October 5, 2026 and subsequently amended on October 20, 2026 (as so amended, the “</w:t>
      </w:r>
      <w:r>
        <w:rPr>
          <w:rFonts w:ascii="Trade Gothic;sans-serif" w:hAnsi="Trade Gothic;sans-serif"/>
          <w:b/>
          <w:i/>
          <w:color w:val="000000"/>
          <w:sz w:val="19"/>
        </w:rPr>
        <w:t>Prior Registration Statement</w:t>
      </w:r>
      <w:r>
        <w:rPr>
          <w:color w:val="000000"/>
        </w:rPr>
        <w:t>”</w:t>
      </w:r>
      <w:r>
        <w:rPr>
          <w:rFonts w:ascii="Trade Gothic;sans-serif" w:hAnsi="Trade Gothic;sans-serif"/>
          <w:b w:val="false"/>
          <w:color w:val="000000"/>
          <w:sz w:val="19"/>
        </w:rPr>
        <w:t>), and which the Commission declared effective on October 22, 2026.</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Registrant is filing this Registration Statement for the sole purpose of increasing the aggregate number of shares of common stock offered by the Registrant by 3,381,000 shares, 441,000 of which are subject to purchase upon exercise of the underwriters’ option to purchase additional shares of the Registrant’s common stock. The additional shares of common stock that are being registered for issuance and sale are in an amount and at a price that together represent no more than 20% of the maximum aggregate offering price set forth in the Filing Fee Table (Exhibit 107) contained in the Prior Registration Statement. The information set forth in the Prior Registration Statement and all exhibits to the Prior Registration Statement are incorporated by reference into this Registration Statement.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required opinion and consents are listed on the Exhibit Index attached hereto and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433"/>
        <w:gridCol w:w="381"/>
        <w:gridCol w:w="383"/>
        <w:gridCol w:w="109"/>
        <w:gridCol w:w="109"/>
        <w:gridCol w:w="109"/>
        <w:gridCol w:w="2536"/>
        <w:gridCol w:w="2536"/>
        <w:gridCol w:w="3609"/>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rade Gothic;sans-serif" w:hAnsi="Trade Gothic;sans-serif"/>
                <w:b/>
                <w:color w:val="000000"/>
                <w:sz w:val="16"/>
              </w:rPr>
            </w:pPr>
            <w:r>
              <w:rPr>
                <w:rFonts w:ascii="Trade Gothic;sans-serif" w:hAnsi="Trade Gothic;sans-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Description</w:t>
            </w:r>
          </w:p>
        </w:tc>
      </w:tr>
      <w:tr>
        <w:trPr/>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1mef.htm">
              <w:r>
                <w:rPr>
                  <w:rStyle w:val="InternetLink"/>
                  <w:rFonts w:ascii="Trade Gothic;sans-serif" w:hAnsi="Trade Gothic;sans-serif"/>
                  <w:b w:val="false"/>
                  <w:color w:val="0000FF"/>
                  <w:sz w:val="20"/>
                  <w:u w:val="single"/>
                </w:rPr>
                <w:t>Opinion of Fenwick &amp; West LLP.</w:t>
              </w:r>
            </w:hyperlink>
            <w:r>
              <w:rPr>
                <w:color w:val="000000"/>
              </w:rPr>
              <w:t xml:space="preserve"> </w:t>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1mef.htm">
              <w:r>
                <w:rPr>
                  <w:rStyle w:val="InternetLink"/>
                  <w:rFonts w:ascii="Trade Gothic;sans-serif" w:hAnsi="Trade Gothic;sans-serif"/>
                  <w:b w:val="false"/>
                  <w:color w:val="0000FF"/>
                  <w:sz w:val="20"/>
                  <w:u w:val="single"/>
                </w:rPr>
                <w:t>Consent</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of</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 xml:space="preserve">KPMG LLP, </w:t>
              </w:r>
            </w:hyperlink>
            <w:hyperlink w:anchor="exhibit231-sx1mef.htm">
              <w:r>
                <w:rPr>
                  <w:rStyle w:val="InternetLink"/>
                  <w:rFonts w:ascii="Trade Gothic;sans-serif" w:hAnsi="Trade Gothic;sans-serif"/>
                  <w:b w:val="false"/>
                  <w:color w:val="000080"/>
                  <w:sz w:val="20"/>
                  <w:u w:val="single"/>
                </w:rPr>
                <w:t>Independent</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Registered</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Public</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Accounting</w:t>
              </w:r>
            </w:hyperlink>
            <w:hyperlink w:anchor="exhibit231-sx1mef.htm">
              <w:r>
                <w:rPr>
                  <w:rStyle w:val="InternetLink"/>
                  <w:color w:val="0000FF"/>
                  <w:u w:val="single"/>
                </w:rPr>
                <w:t xml:space="preserve"> </w:t>
              </w:r>
            </w:hyperlink>
            <w:hyperlink w:anchor="exhibit231-sx1mef.htm">
              <w:r>
                <w:rPr>
                  <w:rStyle w:val="InternetLink"/>
                  <w:rFonts w:ascii="Trade Gothic;sans-serif" w:hAnsi="Trade Gothic;sans-serif"/>
                  <w:b w:val="false"/>
                  <w:color w:val="0000FF"/>
                  <w:sz w:val="20"/>
                  <w:u w:val="single"/>
                </w:rPr>
                <w:t>Firm.</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1mef.htm">
              <w:r>
                <w:rPr>
                  <w:rStyle w:val="InternetLink"/>
                  <w:rFonts w:ascii="Trade Gothic;sans-serif" w:hAnsi="Trade Gothic;sans-serif"/>
                  <w:b w:val="false"/>
                  <w:color w:val="0000FF"/>
                  <w:sz w:val="20"/>
                  <w:u w:val="single"/>
                </w:rPr>
                <w:t>Consent of Fenwick &amp; West LLP (included in Exhibit 5.1).</w:t>
              </w:r>
            </w:hyperlink>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rade Gothic;sans-serif" w:hAnsi="Trade Gothic;sans-serif"/>
                <w:color w:val="0000FF"/>
              </w:rPr>
              <w:instrText xml:space="preserve"> HYPERLINK "https://www.sec.gov/Archives/edgar/data/1806540/000162828026064973/lyciatherapeutics-drsa2.htm" \l "ie859af0e8277420daf536485784f3d4d_550"</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Power of Attorney (incorporated by reference to Exhibit 24.1 to the Registration Statement on Form S-1 filed on October 5, 2026 (Registration No. 333-299300)).</w:t>
            </w:r>
            <w:r>
              <w:rPr>
                <w:rStyle w:val="InternetLink"/>
                <w:sz w:val="20"/>
                <w:u w:val="single"/>
                <w:b w:val="false"/>
                <w:rFonts w:ascii="Trade Gothic;sans-serif" w:hAnsi="Trade Gothic;sans-serif"/>
                <w:color w:val="0000FF"/>
              </w:rPr>
              <w:fldChar w:fldCharType="end"/>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yciafilingfeetable.htm">
              <w:r>
                <w:rPr>
                  <w:rStyle w:val="InternetLink"/>
                  <w:rFonts w:ascii="Trade Gothic;sans-serif" w:hAnsi="Trade Gothic;sans-serif"/>
                  <w:b w:val="false"/>
                  <w:color w:val="0000FF"/>
                  <w:sz w:val="20"/>
                  <w:u w:val="single"/>
                </w:rPr>
                <w:t>Filing Fee Table.</w:t>
              </w:r>
            </w:hyperlink>
          </w:p>
        </w:tc>
      </w:tr>
      <w:tr>
        <w:trPr/>
        <w:tc>
          <w:tcPr>
            <w:tcW w:w="11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Trade Gothic;sans-serif" w:hAnsi="Trade Gothic;sans-serif"/>
          <w:b w:val="false"/>
          <w:color w:val="000000"/>
          <w:sz w:val="19"/>
        </w:rPr>
      </w:pPr>
      <w:r>
        <w:rPr>
          <w:rFonts w:ascii="Trade Gothic;sans-serif" w:hAnsi="Trade Gothic;sans-serif"/>
          <w:b w:val="false"/>
          <w:color w:val="000000"/>
          <w:sz w:val="19"/>
        </w:rPr>
        <w:t>*Previously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Act of 1933, as amended, the Registrant has duly caused this Registration Statement to be signed on its behalf by the undersigned, thereunto duly authorized, in the City of South San Francisco, State of California, on the 22nd day of October, 2026.</w:t>
      </w:r>
    </w:p>
    <w:tbl>
      <w:tblPr>
        <w:tblW w:w="6000" w:type="dxa"/>
        <w:jc w:val="left"/>
        <w:tblInd w:w="0" w:type="dxa"/>
        <w:tblLayout w:type="fixed"/>
        <w:tblCellMar>
          <w:top w:w="28" w:type="dxa"/>
          <w:left w:w="28" w:type="dxa"/>
          <w:bottom w:w="28" w:type="dxa"/>
          <w:right w:w="28" w:type="dxa"/>
        </w:tblCellMar>
      </w:tblPr>
      <w:tblGrid>
        <w:gridCol w:w="124"/>
        <w:gridCol w:w="109"/>
        <w:gridCol w:w="109"/>
        <w:gridCol w:w="517"/>
        <w:gridCol w:w="517"/>
        <w:gridCol w:w="517"/>
        <w:gridCol w:w="1244"/>
        <w:gridCol w:w="1244"/>
        <w:gridCol w:w="12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20"/>
              </w:rPr>
            </w:pPr>
            <w:r>
              <w:rPr>
                <w:rFonts w:ascii="Trade Gothic;sans-serif" w:hAnsi="Trade Gothic;sans-serif"/>
                <w:b/>
                <w:color w:val="000000"/>
                <w:sz w:val="20"/>
              </w:rPr>
              <w:t>LYCIA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/s/ Aetna Wun Trombley,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Aetna Wun Trombley,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20"/>
              </w:rPr>
            </w:pPr>
            <w:r>
              <w:rPr>
                <w:rFonts w:ascii="Trade Gothic;sans-serif" w:hAnsi="Trade Gothic;sans-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Act of 1933, as amended, this Registration Statement has been signed by the following persons in the capacities and on the dates indicated.</w:t>
      </w:r>
    </w:p>
    <w:tbl>
      <w:tblPr>
        <w:tblW w:w="10193"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1539"/>
        <w:gridCol w:w="1539"/>
        <w:gridCol w:w="1556"/>
        <w:gridCol w:w="109"/>
        <w:gridCol w:w="109"/>
        <w:gridCol w:w="109"/>
        <w:gridCol w:w="529"/>
        <w:gridCol w:w="529"/>
        <w:gridCol w:w="757"/>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Signature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Date</w:t>
            </w:r>
          </w:p>
        </w:tc>
      </w:tr>
      <w:tr>
        <w:trPr/>
        <w:tc>
          <w:tcPr>
            <w:tcW w:w="3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Aetna Wun Trombley,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October 22, 2026</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Aetna Wun Trombley,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i/>
                <w:color w:val="000000"/>
                <w:sz w:val="20"/>
              </w:rPr>
            </w:pPr>
            <w:r>
              <w:rPr>
                <w:rFonts w:ascii="Trade Gothic;sans-serif" w:hAnsi="Trade Gothic;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/s/ Amy Bachrodt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October 22, 2026</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Amy Bachrodt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i/>
                <w:color w:val="000000"/>
                <w:sz w:val="20"/>
              </w:rPr>
            </w:pPr>
            <w:r>
              <w:rPr>
                <w:rFonts w:ascii="Trade Gothic;sans-serif" w:hAnsi="Trade Gothic;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Chair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October 22, 2026</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William J. Rieflin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October 22, 2026</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Laurent Fischer,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October 22, 2026</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20"/>
              </w:rPr>
            </w:pPr>
            <w:r>
              <w:rPr>
                <w:rFonts w:ascii="Trade Gothic;sans-serif" w:hAnsi="Trade Gothic;sans-serif"/>
                <w:b w:val="false"/>
                <w:color w:val="000000"/>
                <w:sz w:val="20"/>
              </w:rPr>
              <w:t>Jane Pritchett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61" w:type="dxa"/>
        <w:jc w:val="left"/>
        <w:tblInd w:w="0" w:type="dxa"/>
        <w:tblLayout w:type="fixed"/>
        <w:tblCellMar>
          <w:top w:w="28" w:type="dxa"/>
          <w:left w:w="28" w:type="dxa"/>
          <w:bottom w:w="28" w:type="dxa"/>
          <w:right w:w="28" w:type="dxa"/>
        </w:tblCellMar>
      </w:tblPr>
      <w:tblGrid>
        <w:gridCol w:w="124"/>
        <w:gridCol w:w="109"/>
        <w:gridCol w:w="109"/>
        <w:gridCol w:w="174"/>
        <w:gridCol w:w="174"/>
        <w:gridCol w:w="176"/>
        <w:gridCol w:w="560"/>
        <w:gridCol w:w="560"/>
        <w:gridCol w:w="561"/>
        <w:gridCol w:w="510"/>
        <w:gridCol w:w="510"/>
        <w:gridCol w:w="5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*By:</w:t>
            </w:r>
          </w:p>
        </w:tc>
        <w:tc>
          <w:tcPr>
            <w:tcW w:w="32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/s/ Aetna Wun Trombley,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Aetna Wun Trombley,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20"/>
              </w:rPr>
            </w:pPr>
            <w:r>
              <w:rPr>
                <w:rFonts w:ascii="Trade Gothic;sans-serif" w:hAnsi="Trade Gothic;sans-serif"/>
                <w:b w:val="false"/>
                <w:color w:val="000000"/>
                <w:sz w:val="20"/>
              </w:rPr>
              <w:t>Attorney-in-Fact</w:t>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lyciafilingfeetable.htm"/>
      <w:bookmarkStart w:id="1" w:name="kslyciafilingfeetable"/>
      <w:bookmarkStart w:id="2" w:name="lyciafilingfeetable.htm"/>
      <w:bookmarkStart w:id="3" w:name="kslyciafilingfeetable"/>
      <w:bookmarkEnd w:id="2"/>
      <w:bookmarkEnd w:id="3"/>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Lycia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3,381,000 </w:t>
            </w:r>
          </w:p>
        </w:tc>
        <w:tc>
          <w:tcPr>
            <w:tcW w:w="1156" w:type="dxa"/>
            <w:tcBorders/>
            <w:shd w:fill="E7E7E2" w:val="clear"/>
            <w:vAlign w:val="center"/>
          </w:tcPr>
          <w:p>
            <w:pPr>
              <w:pStyle w:val="TableContents"/>
              <w:bidi w:val="0"/>
              <w:spacing w:before="0" w:after="283"/>
              <w:jc w:val="right"/>
              <w:rPr/>
            </w:pPr>
            <w:r>
              <w:rPr/>
              <w:t xml:space="preserve">$ 18.00 </w:t>
            </w:r>
          </w:p>
        </w:tc>
        <w:tc>
          <w:tcPr>
            <w:tcW w:w="1666" w:type="dxa"/>
            <w:tcBorders/>
            <w:shd w:fill="E7E7E2" w:val="clear"/>
            <w:vAlign w:val="center"/>
          </w:tcPr>
          <w:p>
            <w:pPr>
              <w:pStyle w:val="TableContents"/>
              <w:bidi w:val="0"/>
              <w:spacing w:before="0" w:after="283"/>
              <w:jc w:val="right"/>
              <w:rPr/>
            </w:pPr>
            <w:r>
              <w:rPr/>
              <w:t xml:space="preserve">$ 60,858,000.00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$ 5,294.65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$ 60,858,000.00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$ 5,294.65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$ 5,294.65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Represents 3,381,000 additional shares of common stock being registered, including 441,000 additional shares that the underwriters have the option to purchase. Does not include the shares that were previously registered on the Registration Statement on Form S-1 (File No. 333-299300), as amended (the "Prior Registration Statement"). (b) Proposed Maximum Offering Price Per Unit based on the initial public offering price. (c) Estimated solely for the purpose of calculating the registration fee in accordance with Rule 457(a) under the Securities Act of 1933, as amended (the "Securities Act"). The Registrant previously registered 16,905,000 shares of its common stock with a proposed maximum aggregate offering price of $304,290,000 on the Prior Registration Statement, which was declared effective by the Securities and Exchange Commission on October 22, 2026. In accordance with Rule 462(b) under the Securities Act, an additional 3,381,000 shares of common stock having a proposed maximum aggregate offering price of $60,858,000 are hereby registered, which includes the additional shares that the underwriters have the option to purchase.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center"/>
        <w:rPr/>
      </w:pPr>
      <w:r>
        <w:rPr/>
        <w:drawing>
          <wp:inline distT="0" distB="0" distL="0" distR="0">
            <wp:extent cx="5753100" cy="3238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753100" cy="323850"/>
                    </a:xfrm>
                    <a:prstGeom prst="rect">
                      <a:avLst/>
                    </a:prstGeom>
                  </pic:spPr>
                </pic:pic>
              </a:graphicData>
            </a:graphic>
          </wp:inline>
        </w:drawing>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October 22,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Lycia Therapeutics,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400 East Jamie Court, Suite 200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South San Francisco, California 94080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 Registration Statement on Form S-1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counsel to Lycia Therapeutics,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we have examined the Registration Statement on Form S-1 filed by the Company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October 22, 2026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including a related prospectus included in the Registration Statement (the “</w:t>
      </w:r>
      <w:r>
        <w:rPr>
          <w:rFonts w:ascii="Times New Roman;serif" w:hAnsi="Times New Roman;serif"/>
          <w:b/>
          <w:i/>
          <w:color w:val="000000"/>
          <w:sz w:val="24"/>
        </w:rPr>
        <w:t>Prospectus</w:t>
      </w:r>
      <w:r>
        <w:rPr>
          <w:color w:val="000000"/>
        </w:rPr>
        <w:t>”</w:t>
      </w:r>
      <w:r>
        <w:rPr>
          <w:rFonts w:ascii="Times New Roman;serif" w:hAnsi="Times New Roman;serif"/>
          <w:b w:val="false"/>
          <w:color w:val="000000"/>
          <w:sz w:val="24"/>
        </w:rPr>
        <w:t>) pursuant to Rule 462(b) of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in connection with the registration of 3,381,000 additional shares of the Company’s common stock, $0.0001 par value per share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xml:space="preserve">). This letter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serif" w:hAnsi="Times New Roman;serif"/>
          <w:b/>
          <w:i/>
          <w:color w:val="000000"/>
          <w:sz w:val="24"/>
        </w:rPr>
        <w:t>EDGAR</w:t>
      </w:r>
      <w:r>
        <w:rPr>
          <w:color w:val="000000"/>
        </w:rPr>
        <w:t>”</w:t>
      </w:r>
      <w:r>
        <w:rPr>
          <w:rFonts w:ascii="Times New Roman;serif" w:hAnsi="Times New Roman;serif"/>
          <w:b w:val="false"/>
          <w:color w:val="000000"/>
          <w:sz w:val="24"/>
        </w:rPr>
        <w:t>), except for required EDGAR formatting changes, to physical copies submitted for our examination.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Lycia Therapeutics, Inc.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opinions in this letter are limited to the existing General Corporation Law of the State of Delaware now in effect. We express no opinion with respect to any other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our opinion expressed below, we have assumed that, (i) the Registration Statement and any amendments (including any necessary post-effective amendments) will have been declared effective under the Securities Act, (ii) the Registration Statement will apply to the offer and sale of the Shares and will not have been modified or rescinded and (iii) the Company’s Restated Certificate of Incorporation, a form of which has been filed as an exhibit to the Registration Statement is filed with the Secretary of State of the State of Delaware before issuance of the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qualifications and exceptions contained herein, we are of the opinion that the Shares, when issued, sold and delivered in the manner and for the consideration stated in the Registration Statement and the Prospectus, and in accordance with the resolutions adopted by the Company’s board of directors and the Pricing Committee thereof, will be validly issued, fully paid and nonassessable.</w: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consent to the use of this opinion as an exhibit to the Registration Statement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[Concluding Paragraph Follows on Next Page]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Lycia Therapeutics, Inc.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tbl>
      <w:tblPr>
        <w:tblW w:w="2516" w:type="dxa"/>
        <w:jc w:val="right"/>
        <w:tblInd w:w="0" w:type="dxa"/>
        <w:tblLayout w:type="fixed"/>
        <w:tblCellMar>
          <w:top w:w="28" w:type="dxa"/>
          <w:left w:w="28" w:type="dxa"/>
          <w:bottom w:w="28" w:type="dxa"/>
          <w:right w:w="28" w:type="dxa"/>
        </w:tblCellMar>
      </w:tblPr>
      <w:tblGrid>
        <w:gridCol w:w="777"/>
        <w:gridCol w:w="680"/>
        <w:gridCol w:w="687"/>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Fenwick &amp; West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FENWICK &amp; WEST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400"/>
        <w:jc w:val="left"/>
        <w:rPr/>
      </w:pPr>
      <w:r>
        <w:rPr/>
      </w:r>
    </w:p>
    <w:p>
      <w:pPr>
        <w:pStyle w:val="TextBody"/>
        <w:bidi w:val="0"/>
        <w:spacing w:lineRule="auto" w:line="288" w:before="0" w:after="180"/>
        <w:jc w:val="center"/>
        <w:rPr/>
      </w:pPr>
      <w:r>
        <w:rPr>
          <w:rFonts w:ascii="Arial;sans-serif" w:hAnsi="Arial;sans-serif"/>
          <w:b/>
          <w:color w:val="000000"/>
          <w:sz w:val="20"/>
        </w:rPr>
        <w:t>Consent</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Independent</w:t>
      </w:r>
      <w:r>
        <w:rPr>
          <w:color w:val="000000"/>
        </w:rPr>
        <w:t xml:space="preserve"> </w:t>
      </w:r>
      <w:r>
        <w:rPr>
          <w:rFonts w:ascii="Arial;sans-serif" w:hAnsi="Arial;sans-serif"/>
          <w:b/>
          <w:color w:val="000000"/>
          <w:sz w:val="20"/>
        </w:rPr>
        <w:t>Registered</w:t>
      </w:r>
      <w:r>
        <w:rPr>
          <w:color w:val="000000"/>
        </w:rPr>
        <w:t xml:space="preserve"> </w:t>
      </w:r>
      <w:r>
        <w:rPr>
          <w:rFonts w:ascii="Arial;sans-serif" w:hAnsi="Arial;sans-serif"/>
          <w:b/>
          <w:color w:val="000000"/>
          <w:sz w:val="20"/>
        </w:rPr>
        <w:t>Public</w:t>
      </w:r>
      <w:r>
        <w:rPr>
          <w:color w:val="000000"/>
        </w:rPr>
        <w:t xml:space="preserve"> </w:t>
      </w:r>
      <w:r>
        <w:rPr>
          <w:rFonts w:ascii="Arial;sans-serif" w:hAnsi="Arial;sans-serif"/>
          <w:b/>
          <w:color w:val="000000"/>
          <w:sz w:val="20"/>
        </w:rPr>
        <w:t>Accounting</w:t>
      </w:r>
      <w:r>
        <w:rPr>
          <w:color w:val="000000"/>
        </w:rPr>
        <w:t xml:space="preserve"> </w:t>
      </w:r>
      <w:r>
        <w:rPr>
          <w:rFonts w:ascii="Arial;sans-serif" w:hAnsi="Arial;sans-serif"/>
          <w:b/>
          <w:color w:val="000000"/>
          <w:sz w:val="20"/>
        </w:rPr>
        <w:t>Firm</w:t>
      </w:r>
    </w:p>
    <w:p>
      <w:pPr>
        <w:pStyle w:val="TextBody"/>
        <w:bidi w:val="0"/>
        <w:spacing w:lineRule="auto" w:line="288" w:before="0" w:after="180"/>
        <w:jc w:val="left"/>
        <w:rPr/>
      </w:pPr>
      <w:r>
        <w:rPr>
          <w:rFonts w:ascii="Arial;sans-serif" w:hAnsi="Arial;sans-serif"/>
          <w:b w:val="false"/>
          <w:color w:val="000000"/>
          <w:sz w:val="20"/>
        </w:rPr>
        <w:t>We consent to the use of our report dated July 2, 2026, except for the effects of the reverse stock split discussed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Note</w:t>
      </w:r>
      <w:r>
        <w:rPr>
          <w:color w:val="000000"/>
        </w:rPr>
        <w:t xml:space="preserve"> </w:t>
      </w:r>
      <w:r>
        <w:rPr>
          <w:rFonts w:ascii="Arial;sans-serif" w:hAnsi="Arial;sans-serif"/>
          <w:b w:val="false"/>
          <w:color w:val="000000"/>
          <w:sz w:val="20"/>
        </w:rPr>
        <w:t>16,</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to which 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October 20,</w:t>
      </w:r>
      <w:r>
        <w:rPr>
          <w:color w:val="000000"/>
        </w:rPr>
        <w:t xml:space="preserve"> </w:t>
      </w:r>
      <w:r>
        <w:rPr>
          <w:rFonts w:ascii="Arial;sans-serif" w:hAnsi="Arial;sans-serif"/>
          <w:b w:val="false"/>
          <w:color w:val="000000"/>
          <w:sz w:val="20"/>
        </w:rPr>
        <w:t>2026,</w:t>
      </w:r>
      <w:r>
        <w:rPr>
          <w:color w:val="000000"/>
        </w:rPr>
        <w:t xml:space="preserve"> </w:t>
      </w:r>
      <w:r>
        <w:rPr>
          <w:rFonts w:ascii="Arial;sans-serif" w:hAnsi="Arial;sans-serif"/>
          <w:b w:val="false"/>
          <w:color w:val="000000"/>
          <w:sz w:val="20"/>
        </w:rPr>
        <w:t>with</w:t>
      </w:r>
      <w:r>
        <w:rPr>
          <w:color w:val="000000"/>
        </w:rPr>
        <w:t xml:space="preserve"> </w:t>
      </w:r>
      <w:r>
        <w:rPr>
          <w:rFonts w:ascii="Arial;sans-serif" w:hAnsi="Arial;sans-serif"/>
          <w:b w:val="false"/>
          <w:color w:val="000000"/>
          <w:sz w:val="20"/>
        </w:rPr>
        <w:t>respect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financial</w:t>
      </w:r>
      <w:r>
        <w:rPr>
          <w:color w:val="000000"/>
        </w:rPr>
        <w:t xml:space="preserve"> </w:t>
      </w:r>
      <w:r>
        <w:rPr>
          <w:rFonts w:ascii="Arial;sans-serif" w:hAnsi="Arial;sans-serif"/>
          <w:b w:val="false"/>
          <w:color w:val="000000"/>
          <w:sz w:val="20"/>
        </w:rPr>
        <w:t>statements of</w:t>
      </w:r>
      <w:r>
        <w:rPr>
          <w:color w:val="000000"/>
        </w:rPr>
        <w:t xml:space="preserve"> </w:t>
      </w:r>
      <w:r>
        <w:rPr>
          <w:rFonts w:ascii="Arial;sans-serif" w:hAnsi="Arial;sans-serif"/>
          <w:b w:val="false"/>
          <w:color w:val="000000"/>
          <w:sz w:val="20"/>
        </w:rPr>
        <w:t>Lycia Therapeutics, Inc., incorporated herein by reference, and to the reference to our firm under the heading "Experts" in the prospectus.</w:t>
      </w:r>
    </w:p>
    <w:p>
      <w:pPr>
        <w:pStyle w:val="TextBody"/>
        <w:bidi w:val="0"/>
        <w:spacing w:lineRule="auto" w:line="288" w:before="0" w:after="400"/>
        <w:jc w:val="center"/>
        <w:rPr/>
      </w:pPr>
      <w:r>
        <w:rPr>
          <w:rFonts w:ascii="Arial;sans-serif" w:hAnsi="Arial;sans-serif"/>
          <w:b w:val="false"/>
          <w:color w:val="000000"/>
          <w:sz w:val="20"/>
        </w:rPr>
        <w:t>/s/</w:t>
      </w:r>
      <w:r>
        <w:rPr>
          <w:color w:val="000000"/>
        </w:rPr>
        <w:t xml:space="preserve"> </w:t>
      </w:r>
      <w:r>
        <w:rPr>
          <w:rFonts w:ascii="Arial;sans-serif" w:hAnsi="Arial;sans-serif"/>
          <w:b w:val="false"/>
          <w:color w:val="000000"/>
          <w:sz w:val="20"/>
        </w:rPr>
        <w:t>KPMG</w:t>
      </w:r>
      <w:r>
        <w:rPr>
          <w:color w:val="000000"/>
        </w:rPr>
        <w:t xml:space="preserve"> </w:t>
      </w:r>
      <w:r>
        <w:rPr>
          <w:rFonts w:ascii="Arial;sans-serif" w:hAnsi="Arial;sans-serif"/>
          <w:b w:val="false"/>
          <w:color w:val="000000"/>
          <w:sz w:val="20"/>
        </w:rPr>
        <w:t>LLP</w:t>
      </w:r>
    </w:p>
    <w:p>
      <w:pPr>
        <w:pStyle w:val="TextBody"/>
        <w:bidi w:val="0"/>
        <w:spacing w:lineRule="auto" w:line="288" w:before="0" w:after="0"/>
        <w:jc w:val="left"/>
        <w:rPr/>
      </w:pPr>
      <w:r>
        <w:rPr>
          <w:rFonts w:ascii="Arial;sans-serif" w:hAnsi="Arial;sans-serif"/>
          <w:b w:val="false"/>
          <w:color w:val="000000"/>
          <w:sz w:val="20"/>
        </w:rPr>
        <w:t>San</w:t>
      </w:r>
      <w:r>
        <w:rPr>
          <w:color w:val="000000"/>
        </w:rPr>
        <w:t xml:space="preserve"> </w:t>
      </w:r>
      <w:r>
        <w:rPr>
          <w:rFonts w:ascii="Arial;sans-serif" w:hAnsi="Arial;sans-serif"/>
          <w:b w:val="false"/>
          <w:color w:val="000000"/>
          <w:sz w:val="20"/>
        </w:rPr>
        <w:t>Francisco,</w:t>
      </w:r>
      <w:r>
        <w:rPr>
          <w:color w:val="000000"/>
        </w:rPr>
        <w:t xml:space="preserve"> </w:t>
      </w:r>
      <w:r>
        <w:rPr>
          <w:rFonts w:ascii="Arial;sans-serif" w:hAnsi="Arial;sans-serif"/>
          <w:b w:val="false"/>
          <w:color w:val="000000"/>
          <w:sz w:val="20"/>
        </w:rPr>
        <w:t>California</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October 22,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16305"/>
                <wp:effectExtent l="0" t="0" r="0" b="0"/>
                <wp:wrapNone/>
                <wp:docPr id="9" name="Frame8"/>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10205" w:type="dxa"/>
                              <w:jc w:val="center"/>
                              <w:tblInd w:w="0" w:type="dxa"/>
                              <w:tblLayout w:type="fixed"/>
                              <w:tblCellMar>
                                <w:top w:w="28" w:type="dxa"/>
                                <w:left w:w="28" w:type="dxa"/>
                                <w:bottom w:w="28" w:type="dxa"/>
                                <w:right w:w="28" w:type="dxa"/>
                              </w:tblCellMar>
                            </w:tblPr>
                            <w:tblGrid>
                              <w:gridCol w:w="3264"/>
                              <w:gridCol w:w="2863"/>
                              <w:gridCol w:w="4078"/>
                            </w:tblGrid>
                            <w:tr>
                              <w:trPr/>
                              <w:tc>
                                <w:tcPr>
                                  <w:tcW w:w="3264" w:type="dxa"/>
                                  <w:tcBorders/>
                                  <w:vAlign w:val="center"/>
                                </w:tcPr>
                                <w:p>
                                  <w:pPr>
                                    <w:pStyle w:val="TableContents"/>
                                    <w:bidi w:val="0"/>
                                    <w:spacing w:before="0" w:after="283"/>
                                    <w:jc w:val="left"/>
                                    <w:rPr>
                                      <w:sz w:val="4"/>
                                      <w:szCs w:val="4"/>
                                    </w:rPr>
                                  </w:pPr>
                                  <w:r>
                                    <w:rPr>
                                      <w:sz w:val="4"/>
                                      <w:szCs w:val="4"/>
                                    </w:rPr>
                                  </w:r>
                                  <w:r>
                                    <w:br w:type="page"/>
                                  </w:r>
                                </w:p>
                              </w:tc>
                              <w:tc>
                                <w:tcPr>
                                  <w:tcW w:w="2863"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6" w:after="283"/>
                                    <w:jc w:val="both"/>
                                    <w:rPr/>
                                  </w:pPr>
                                  <w:r>
                                    <w:rPr>
                                      <w:rFonts w:ascii="Arial;sans-serif" w:hAnsi="Arial;sans-serif"/>
                                      <w:b w:val="false"/>
                                      <w:color w:val="000000"/>
                                      <w:sz w:val="11"/>
                                    </w:rPr>
                                    <w:t>KPMG</w:t>
                                  </w:r>
                                  <w:r>
                                    <w:rPr>
                                      <w:color w:val="000000"/>
                                    </w:rPr>
                                    <w:t xml:space="preserve"> </w:t>
                                  </w:r>
                                  <w:r>
                                    <w:rPr>
                                      <w:rFonts w:ascii="Arial;sans-serif" w:hAnsi="Arial;sans-serif"/>
                                      <w:b w:val="false"/>
                                      <w:color w:val="000000"/>
                                      <w:sz w:val="11"/>
                                    </w:rPr>
                                    <w:t>LLP,</w:t>
                                  </w:r>
                                  <w:r>
                                    <w:rPr>
                                      <w:color w:val="000000"/>
                                    </w:rPr>
                                    <w:t xml:space="preserve"> </w:t>
                                  </w:r>
                                  <w:r>
                                    <w:rPr>
                                      <w:rFonts w:ascii="Arial;sans-serif" w:hAnsi="Arial;sans-serif"/>
                                      <w:b w:val="false"/>
                                      <w:color w:val="000000"/>
                                      <w:sz w:val="11"/>
                                    </w:rPr>
                                    <w:t>a</w:t>
                                  </w:r>
                                  <w:r>
                                    <w:rPr>
                                      <w:color w:val="000000"/>
                                    </w:rPr>
                                    <w:t xml:space="preserve"> </w:t>
                                  </w:r>
                                  <w:r>
                                    <w:rPr>
                                      <w:rFonts w:ascii="Arial;sans-serif" w:hAnsi="Arial;sans-serif"/>
                                      <w:b w:val="false"/>
                                      <w:color w:val="000000"/>
                                      <w:sz w:val="11"/>
                                    </w:rPr>
                                    <w:t>Delaware</w:t>
                                  </w:r>
                                  <w:r>
                                    <w:rPr>
                                      <w:color w:val="000000"/>
                                    </w:rPr>
                                    <w:t xml:space="preserve"> </w:t>
                                  </w:r>
                                  <w:r>
                                    <w:rPr>
                                      <w:rFonts w:ascii="Arial;sans-serif" w:hAnsi="Arial;sans-serif"/>
                                      <w:b w:val="false"/>
                                      <w:color w:val="000000"/>
                                      <w:sz w:val="11"/>
                                    </w:rPr>
                                    <w:t>limited</w:t>
                                  </w:r>
                                  <w:r>
                                    <w:rPr>
                                      <w:color w:val="000000"/>
                                    </w:rPr>
                                    <w:t xml:space="preserve"> </w:t>
                                  </w:r>
                                  <w:r>
                                    <w:rPr>
                                      <w:rFonts w:ascii="Arial;sans-serif" w:hAnsi="Arial;sans-serif"/>
                                      <w:b w:val="false"/>
                                      <w:color w:val="000000"/>
                                      <w:sz w:val="11"/>
                                    </w:rPr>
                                    <w:t>liability</w:t>
                                  </w:r>
                                  <w:r>
                                    <w:rPr>
                                      <w:color w:val="000000"/>
                                    </w:rPr>
                                    <w:t xml:space="preserve"> </w:t>
                                  </w:r>
                                  <w:r>
                                    <w:rPr>
                                      <w:rFonts w:ascii="Arial;sans-serif" w:hAnsi="Arial;sans-serif"/>
                                      <w:b w:val="false"/>
                                      <w:color w:val="000000"/>
                                      <w:sz w:val="11"/>
                                    </w:rPr>
                                    <w:t>partnership,</w:t>
                                  </w:r>
                                  <w:r>
                                    <w:rPr>
                                      <w:color w:val="000000"/>
                                    </w:rPr>
                                    <w:t xml:space="preserve"> </w:t>
                                  </w:r>
                                  <w:r>
                                    <w:rPr>
                                      <w:rFonts w:ascii="Arial;sans-serif" w:hAnsi="Arial;sans-serif"/>
                                      <w:b w:val="false"/>
                                      <w:color w:val="000000"/>
                                      <w:sz w:val="11"/>
                                    </w:rPr>
                                    <w:t>and</w:t>
                                  </w:r>
                                  <w:r>
                                    <w:rPr>
                                      <w:color w:val="000000"/>
                                    </w:rPr>
                                    <w:t xml:space="preserve"> </w:t>
                                  </w:r>
                                  <w:r>
                                    <w:rPr>
                                      <w:rFonts w:ascii="Arial;sans-serif" w:hAnsi="Arial;sans-serif"/>
                                      <w:b w:val="false"/>
                                      <w:color w:val="000000"/>
                                      <w:sz w:val="11"/>
                                    </w:rPr>
                                    <w:t>its</w:t>
                                  </w:r>
                                  <w:r>
                                    <w:rPr>
                                      <w:color w:val="000000"/>
                                    </w:rPr>
                                    <w:t xml:space="preserve"> </w:t>
                                  </w:r>
                                  <w:r>
                                    <w:rPr>
                                      <w:rFonts w:ascii="Arial;sans-serif" w:hAnsi="Arial;sans-serif"/>
                                      <w:b w:val="false"/>
                                      <w:color w:val="000000"/>
                                      <w:sz w:val="11"/>
                                    </w:rPr>
                                    <w:t>subsidiaries</w:t>
                                  </w:r>
                                  <w:r>
                                    <w:rPr>
                                      <w:color w:val="000000"/>
                                    </w:rPr>
                                    <w:t xml:space="preserve"> </w:t>
                                  </w:r>
                                  <w:r>
                                    <w:rPr>
                                      <w:rFonts w:ascii="Arial;sans-serif" w:hAnsi="Arial;sans-serif"/>
                                      <w:b w:val="false"/>
                                      <w:color w:val="000000"/>
                                      <w:sz w:val="11"/>
                                    </w:rPr>
                                    <w:t>are</w:t>
                                  </w:r>
                                  <w:r>
                                    <w:rPr>
                                      <w:color w:val="000000"/>
                                    </w:rPr>
                                    <w:t xml:space="preserve"> </w:t>
                                  </w:r>
                                  <w:r>
                                    <w:rPr>
                                      <w:rFonts w:ascii="Arial;sans-serif" w:hAnsi="Arial;sans-serif"/>
                                      <w:b w:val="false"/>
                                      <w:color w:val="000000"/>
                                      <w:sz w:val="11"/>
                                    </w:rPr>
                                    <w:t>part</w:t>
                                  </w:r>
                                  <w:r>
                                    <w:rPr>
                                      <w:color w:val="000000"/>
                                    </w:rPr>
                                    <w:t xml:space="preserve"> </w:t>
                                  </w:r>
                                  <w:r>
                                    <w:rPr>
                                      <w:rFonts w:ascii="Arial;sans-serif" w:hAnsi="Arial;sans-serif"/>
                                      <w:b w:val="false"/>
                                      <w:color w:val="000000"/>
                                      <w:sz w:val="11"/>
                                    </w:rPr>
                                    <w:t>of</w:t>
                                  </w:r>
                                  <w:r>
                                    <w:rPr>
                                      <w:color w:val="000000"/>
                                    </w:rPr>
                                    <w:t xml:space="preserve"> </w:t>
                                  </w:r>
                                  <w:r>
                                    <w:rPr>
                                      <w:rFonts w:ascii="Arial;sans-serif" w:hAnsi="Arial;sans-serif"/>
                                      <w:b w:val="false"/>
                                      <w:color w:val="000000"/>
                                      <w:sz w:val="11"/>
                                    </w:rPr>
                                    <w:t>the</w:t>
                                  </w:r>
                                  <w:r>
                                    <w:rPr>
                                      <w:color w:val="000000"/>
                                    </w:rPr>
                                    <w:t xml:space="preserve"> </w:t>
                                  </w:r>
                                  <w:r>
                                    <w:rPr>
                                      <w:rFonts w:ascii="Arial;sans-serif" w:hAnsi="Arial;sans-serif"/>
                                      <w:b w:val="false"/>
                                      <w:color w:val="000000"/>
                                      <w:sz w:val="11"/>
                                    </w:rPr>
                                    <w:t>KPMG global organization</w:t>
                                  </w:r>
                                  <w:r>
                                    <w:rPr>
                                      <w:color w:val="000000"/>
                                    </w:rPr>
                                    <w:t xml:space="preserve"> </w:t>
                                  </w:r>
                                  <w:r>
                                    <w:rPr>
                                      <w:rFonts w:ascii="Arial;sans-serif" w:hAnsi="Arial;sans-serif"/>
                                      <w:b w:val="false"/>
                                      <w:color w:val="000000"/>
                                      <w:sz w:val="11"/>
                                    </w:rPr>
                                    <w:t>of independent</w:t>
                                  </w:r>
                                  <w:r>
                                    <w:rPr>
                                      <w:color w:val="000000"/>
                                    </w:rPr>
                                    <w:t xml:space="preserve"> </w:t>
                                  </w:r>
                                  <w:r>
                                    <w:rPr>
                                      <w:rFonts w:ascii="Arial;sans-serif" w:hAnsi="Arial;sans-serif"/>
                                      <w:b w:val="false"/>
                                      <w:color w:val="000000"/>
                                      <w:sz w:val="11"/>
                                    </w:rPr>
                                    <w:t>member</w:t>
                                  </w:r>
                                  <w:r>
                                    <w:rPr>
                                      <w:color w:val="000000"/>
                                    </w:rPr>
                                    <w:t xml:space="preserve"> </w:t>
                                  </w:r>
                                  <w:r>
                                    <w:rPr>
                                      <w:rFonts w:ascii="Arial;sans-serif" w:hAnsi="Arial;sans-serif"/>
                                      <w:b w:val="false"/>
                                      <w:color w:val="000000"/>
                                      <w:sz w:val="11"/>
                                    </w:rPr>
                                    <w:t>firms affiliated with</w:t>
                                  </w:r>
                                  <w:r>
                                    <w:rPr>
                                      <w:color w:val="000000"/>
                                    </w:rPr>
                                    <w:t xml:space="preserve"> </w:t>
                                  </w:r>
                                  <w:r>
                                    <w:rPr>
                                      <w:rFonts w:ascii="Arial;sans-serif" w:hAnsi="Arial;sans-serif"/>
                                      <w:b w:val="false"/>
                                      <w:color w:val="000000"/>
                                      <w:sz w:val="11"/>
                                    </w:rPr>
                                    <w:t>KPMG</w:t>
                                  </w:r>
                                  <w:r>
                                    <w:rPr>
                                      <w:color w:val="000000"/>
                                    </w:rPr>
                                    <w:t xml:space="preserve"> </w:t>
                                  </w:r>
                                  <w:r>
                                    <w:rPr>
                                      <w:rFonts w:ascii="Arial;sans-serif" w:hAnsi="Arial;sans-serif"/>
                                      <w:b w:val="false"/>
                                      <w:color w:val="000000"/>
                                      <w:sz w:val="11"/>
                                    </w:rPr>
                                    <w:t>International Limited, a private English company limited by guarantee.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center"/>
                        <w:tblInd w:w="0" w:type="dxa"/>
                        <w:tblLayout w:type="fixed"/>
                        <w:tblCellMar>
                          <w:top w:w="28" w:type="dxa"/>
                          <w:left w:w="28" w:type="dxa"/>
                          <w:bottom w:w="28" w:type="dxa"/>
                          <w:right w:w="28" w:type="dxa"/>
                        </w:tblCellMar>
                      </w:tblPr>
                      <w:tblGrid>
                        <w:gridCol w:w="3264"/>
                        <w:gridCol w:w="2863"/>
                        <w:gridCol w:w="4078"/>
                      </w:tblGrid>
                      <w:tr>
                        <w:trPr/>
                        <w:tc>
                          <w:tcPr>
                            <w:tcW w:w="3264"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6" w:after="283"/>
                              <w:jc w:val="both"/>
                              <w:rPr/>
                            </w:pPr>
                            <w:r>
                              <w:rPr>
                                <w:rFonts w:ascii="Arial;sans-serif" w:hAnsi="Arial;sans-serif"/>
                                <w:b w:val="false"/>
                                <w:color w:val="000000"/>
                                <w:sz w:val="11"/>
                              </w:rPr>
                              <w:t>KPMG</w:t>
                            </w:r>
                            <w:r>
                              <w:rPr>
                                <w:color w:val="000000"/>
                              </w:rPr>
                              <w:t xml:space="preserve"> </w:t>
                            </w:r>
                            <w:r>
                              <w:rPr>
                                <w:rFonts w:ascii="Arial;sans-serif" w:hAnsi="Arial;sans-serif"/>
                                <w:b w:val="false"/>
                                <w:color w:val="000000"/>
                                <w:sz w:val="11"/>
                              </w:rPr>
                              <w:t>LLP,</w:t>
                            </w:r>
                            <w:r>
                              <w:rPr>
                                <w:color w:val="000000"/>
                              </w:rPr>
                              <w:t xml:space="preserve"> </w:t>
                            </w:r>
                            <w:r>
                              <w:rPr>
                                <w:rFonts w:ascii="Arial;sans-serif" w:hAnsi="Arial;sans-serif"/>
                                <w:b w:val="false"/>
                                <w:color w:val="000000"/>
                                <w:sz w:val="11"/>
                              </w:rPr>
                              <w:t>a</w:t>
                            </w:r>
                            <w:r>
                              <w:rPr>
                                <w:color w:val="000000"/>
                              </w:rPr>
                              <w:t xml:space="preserve"> </w:t>
                            </w:r>
                            <w:r>
                              <w:rPr>
                                <w:rFonts w:ascii="Arial;sans-serif" w:hAnsi="Arial;sans-serif"/>
                                <w:b w:val="false"/>
                                <w:color w:val="000000"/>
                                <w:sz w:val="11"/>
                              </w:rPr>
                              <w:t>Delaware</w:t>
                            </w:r>
                            <w:r>
                              <w:rPr>
                                <w:color w:val="000000"/>
                              </w:rPr>
                              <w:t xml:space="preserve"> </w:t>
                            </w:r>
                            <w:r>
                              <w:rPr>
                                <w:rFonts w:ascii="Arial;sans-serif" w:hAnsi="Arial;sans-serif"/>
                                <w:b w:val="false"/>
                                <w:color w:val="000000"/>
                                <w:sz w:val="11"/>
                              </w:rPr>
                              <w:t>limited</w:t>
                            </w:r>
                            <w:r>
                              <w:rPr>
                                <w:color w:val="000000"/>
                              </w:rPr>
                              <w:t xml:space="preserve"> </w:t>
                            </w:r>
                            <w:r>
                              <w:rPr>
                                <w:rFonts w:ascii="Arial;sans-serif" w:hAnsi="Arial;sans-serif"/>
                                <w:b w:val="false"/>
                                <w:color w:val="000000"/>
                                <w:sz w:val="11"/>
                              </w:rPr>
                              <w:t>liability</w:t>
                            </w:r>
                            <w:r>
                              <w:rPr>
                                <w:color w:val="000000"/>
                              </w:rPr>
                              <w:t xml:space="preserve"> </w:t>
                            </w:r>
                            <w:r>
                              <w:rPr>
                                <w:rFonts w:ascii="Arial;sans-serif" w:hAnsi="Arial;sans-serif"/>
                                <w:b w:val="false"/>
                                <w:color w:val="000000"/>
                                <w:sz w:val="11"/>
                              </w:rPr>
                              <w:t>partnership,</w:t>
                            </w:r>
                            <w:r>
                              <w:rPr>
                                <w:color w:val="000000"/>
                              </w:rPr>
                              <w:t xml:space="preserve"> </w:t>
                            </w:r>
                            <w:r>
                              <w:rPr>
                                <w:rFonts w:ascii="Arial;sans-serif" w:hAnsi="Arial;sans-serif"/>
                                <w:b w:val="false"/>
                                <w:color w:val="000000"/>
                                <w:sz w:val="11"/>
                              </w:rPr>
                              <w:t>and</w:t>
                            </w:r>
                            <w:r>
                              <w:rPr>
                                <w:color w:val="000000"/>
                              </w:rPr>
                              <w:t xml:space="preserve"> </w:t>
                            </w:r>
                            <w:r>
                              <w:rPr>
                                <w:rFonts w:ascii="Arial;sans-serif" w:hAnsi="Arial;sans-serif"/>
                                <w:b w:val="false"/>
                                <w:color w:val="000000"/>
                                <w:sz w:val="11"/>
                              </w:rPr>
                              <w:t>its</w:t>
                            </w:r>
                            <w:r>
                              <w:rPr>
                                <w:color w:val="000000"/>
                              </w:rPr>
                              <w:t xml:space="preserve"> </w:t>
                            </w:r>
                            <w:r>
                              <w:rPr>
                                <w:rFonts w:ascii="Arial;sans-serif" w:hAnsi="Arial;sans-serif"/>
                                <w:b w:val="false"/>
                                <w:color w:val="000000"/>
                                <w:sz w:val="11"/>
                              </w:rPr>
                              <w:t>subsidiaries</w:t>
                            </w:r>
                            <w:r>
                              <w:rPr>
                                <w:color w:val="000000"/>
                              </w:rPr>
                              <w:t xml:space="preserve"> </w:t>
                            </w:r>
                            <w:r>
                              <w:rPr>
                                <w:rFonts w:ascii="Arial;sans-serif" w:hAnsi="Arial;sans-serif"/>
                                <w:b w:val="false"/>
                                <w:color w:val="000000"/>
                                <w:sz w:val="11"/>
                              </w:rPr>
                              <w:t>are</w:t>
                            </w:r>
                            <w:r>
                              <w:rPr>
                                <w:color w:val="000000"/>
                              </w:rPr>
                              <w:t xml:space="preserve"> </w:t>
                            </w:r>
                            <w:r>
                              <w:rPr>
                                <w:rFonts w:ascii="Arial;sans-serif" w:hAnsi="Arial;sans-serif"/>
                                <w:b w:val="false"/>
                                <w:color w:val="000000"/>
                                <w:sz w:val="11"/>
                              </w:rPr>
                              <w:t>part</w:t>
                            </w:r>
                            <w:r>
                              <w:rPr>
                                <w:color w:val="000000"/>
                              </w:rPr>
                              <w:t xml:space="preserve"> </w:t>
                            </w:r>
                            <w:r>
                              <w:rPr>
                                <w:rFonts w:ascii="Arial;sans-serif" w:hAnsi="Arial;sans-serif"/>
                                <w:b w:val="false"/>
                                <w:color w:val="000000"/>
                                <w:sz w:val="11"/>
                              </w:rPr>
                              <w:t>of</w:t>
                            </w:r>
                            <w:r>
                              <w:rPr>
                                <w:color w:val="000000"/>
                              </w:rPr>
                              <w:t xml:space="preserve"> </w:t>
                            </w:r>
                            <w:r>
                              <w:rPr>
                                <w:rFonts w:ascii="Arial;sans-serif" w:hAnsi="Arial;sans-serif"/>
                                <w:b w:val="false"/>
                                <w:color w:val="000000"/>
                                <w:sz w:val="11"/>
                              </w:rPr>
                              <w:t>the</w:t>
                            </w:r>
                            <w:r>
                              <w:rPr>
                                <w:color w:val="000000"/>
                              </w:rPr>
                              <w:t xml:space="preserve"> </w:t>
                            </w:r>
                            <w:r>
                              <w:rPr>
                                <w:rFonts w:ascii="Arial;sans-serif" w:hAnsi="Arial;sans-serif"/>
                                <w:b w:val="false"/>
                                <w:color w:val="000000"/>
                                <w:sz w:val="11"/>
                              </w:rPr>
                              <w:t>KPMG global organization</w:t>
                            </w:r>
                            <w:r>
                              <w:rPr>
                                <w:color w:val="000000"/>
                              </w:rPr>
                              <w:t xml:space="preserve"> </w:t>
                            </w:r>
                            <w:r>
                              <w:rPr>
                                <w:rFonts w:ascii="Arial;sans-serif" w:hAnsi="Arial;sans-serif"/>
                                <w:b w:val="false"/>
                                <w:color w:val="000000"/>
                                <w:sz w:val="11"/>
                              </w:rPr>
                              <w:t>of independent</w:t>
                            </w:r>
                            <w:r>
                              <w:rPr>
                                <w:color w:val="000000"/>
                              </w:rPr>
                              <w:t xml:space="preserve"> </w:t>
                            </w:r>
                            <w:r>
                              <w:rPr>
                                <w:rFonts w:ascii="Arial;sans-serif" w:hAnsi="Arial;sans-serif"/>
                                <w:b w:val="false"/>
                                <w:color w:val="000000"/>
                                <w:sz w:val="11"/>
                              </w:rPr>
                              <w:t>member</w:t>
                            </w:r>
                            <w:r>
                              <w:rPr>
                                <w:color w:val="000000"/>
                              </w:rPr>
                              <w:t xml:space="preserve"> </w:t>
                            </w:r>
                            <w:r>
                              <w:rPr>
                                <w:rFonts w:ascii="Arial;sans-serif" w:hAnsi="Arial;sans-serif"/>
                                <w:b w:val="false"/>
                                <w:color w:val="000000"/>
                                <w:sz w:val="11"/>
                              </w:rPr>
                              <w:t>firms affiliated with</w:t>
                            </w:r>
                            <w:r>
                              <w:rPr>
                                <w:color w:val="000000"/>
                              </w:rPr>
                              <w:t xml:space="preserve"> </w:t>
                            </w:r>
                            <w:r>
                              <w:rPr>
                                <w:rFonts w:ascii="Arial;sans-serif" w:hAnsi="Arial;sans-serif"/>
                                <w:b w:val="false"/>
                                <w:color w:val="000000"/>
                                <w:sz w:val="11"/>
                              </w:rPr>
                              <w:t>KPMG</w:t>
                            </w:r>
                            <w:r>
                              <w:rPr>
                                <w:color w:val="000000"/>
                              </w:rPr>
                              <w:t xml:space="preserve"> </w:t>
                            </w:r>
                            <w:r>
                              <w:rPr>
                                <w:rFonts w:ascii="Arial;sans-serif" w:hAnsi="Arial;sans-serif"/>
                                <w:b w:val="false"/>
                                <w:color w:val="000000"/>
                                <w:sz w:val="11"/>
                              </w:rPr>
                              <w:t>International Limited, a private English company limited by guarantee.</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2415</Words>
  <Characters>13220</Characters>
  <CharactersWithSpaces>15505</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