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09.xml.htm"/>
      <w:bookmarkStart w:id="1" w:name="ksform310222026_11100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Lee Chin Hyok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366,402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73,191</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vested as to 1/4 of the total award on February 1, 2026, and an additional 1/48 of the total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1/48 of the total award on September 6, 2026, and an additional 1/48 of the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11.htm"/>
      <w:bookmarkStart w:id="3" w:name="ksex2410222026_111011"/>
      <w:bookmarkStart w:id="4" w:name="ex24-10222026_111011.htm"/>
      <w:bookmarkStart w:id="5" w:name="ksex2410222026_111011"/>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Aetna Wun Trombley, Amy Bachrodt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60655"/>
                <wp:effectExtent l="0" t="0" r="0" b="0"/>
                <wp:wrapSquare wrapText="right"/>
                <wp:docPr id="6"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27th day of August,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Chin Lee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886200" cy="160655"/>
                <wp:effectExtent l="0" t="0" r="0" b="0"/>
                <wp:wrapSquare wrapText="right"/>
                <wp:docPr id="7"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Chin Lee</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886200" cy="160655"/>
                <wp:effectExtent l="0" t="0" r="0" b="0"/>
                <wp:wrapSquare wrapText="right"/>
                <wp:docPr id="8"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10805"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1083</Words>
  <Characters>5738</Characters>
  <CharactersWithSpaces>6747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